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SKCC Safeguarding Information Document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Updated: March 2023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Spelthorne Kayaking and Canoe Club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(SKCC) a</w:t>
      </w:r>
      <w:r>
        <w:rPr>
          <w:sz w:val="24"/>
          <w:szCs w:val="24"/>
          <w:rtl w:val="0"/>
          <w:lang w:val="en-US"/>
        </w:rPr>
        <w:t xml:space="preserve">cknowledges the duty of care to safeguard and promote the welfare of children and is committed to ensuring </w:t>
      </w:r>
      <w:r>
        <w:rPr>
          <w:sz w:val="24"/>
          <w:szCs w:val="24"/>
          <w:rtl w:val="0"/>
          <w:lang w:val="en-US"/>
        </w:rPr>
        <w:t xml:space="preserve">that </w:t>
      </w:r>
      <w:r>
        <w:rPr>
          <w:sz w:val="24"/>
          <w:szCs w:val="24"/>
          <w:rtl w:val="0"/>
          <w:lang w:val="en-US"/>
        </w:rPr>
        <w:t xml:space="preserve">safeguarding practice reflects statutory responsibilities, government guidance and complies with best practice and </w:t>
      </w:r>
      <w:r>
        <w:rPr>
          <w:sz w:val="24"/>
          <w:szCs w:val="24"/>
          <w:rtl w:val="0"/>
          <w:lang w:val="en-US"/>
        </w:rPr>
        <w:t xml:space="preserve">British Canoeing Association </w:t>
      </w:r>
      <w:r>
        <w:rPr>
          <w:sz w:val="24"/>
          <w:szCs w:val="24"/>
          <w:rtl w:val="0"/>
          <w:lang w:val="en-US"/>
        </w:rPr>
        <w:t>requirements.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What Is A Safeguarding Concern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safeguarding concern can take a variety of forms, which include but are not limited to: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Any general welfare concerns about a child or vulnerable adult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Signs of poor practice on the part of a coach or responsible adult 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Signs of negligence, physical, verbal or emotional abuse 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Signs of bullying or peer-on-peer abuse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How To Report A Safeguarding Concern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 safeguarding concerns should be taken in the first instance to a member of the Safeguarding Team: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DESIGNATED SAFEGUARDING LEAD - CLIVE CHALK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Email: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"mailto:c.chalk508@btinternet.com"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c.chalk508@btinternet.com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DEPUTY DESIGNATED SAFEGUARDING LEAD - SUE GRAY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Email: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"mailto:sue.a.gray68@gmail.com"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sue.a.gray68@gmail.com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SAFEGUARDING LAY ADVISOR - SAM JENKINS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Email: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"mailto:changemakersam@gmail.com"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changemakersam@gmail.com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If a child or vulnerable adult is at immediate risk of harm you must contact 999. 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 xml:space="preserve">SKCC follows the policies and procedures of the British Canoeing Association. To view their safeguarding policies in full please use this link: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"https://www.britishcanoeing.org.uk/guidance-resources/safeguarding/policies-guidance-and-templates"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https://www.britishcanoeing.org.uk/guidance-resources/safeguarding/policies-guidance-and-templates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